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20" w:lineRule="exact"/>
        <w:ind w:left="0" w:right="0" w:firstLine="0"/>
        <w:jc w:val="center"/>
        <w:textAlignment w:val="auto"/>
        <w:rPr>
          <w:rFonts w:hint="default" w:ascii="Nimbus Roman No9 L" w:hAnsi="Nimbus Roman No9 L" w:cs="Nimbus Roman No9 L"/>
          <w:i w:val="0"/>
          <w:iCs w:val="0"/>
          <w:caps w:val="0"/>
          <w:color w:val="000000" w:themeColor="text1"/>
          <w:spacing w:val="0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default" w:ascii="Nimbus Roman No9 L" w:hAnsi="Nimbus Roman No9 L" w:eastAsia="方正小标宋简体" w:cs="Nimbus Roman No9 L"/>
          <w:i w:val="0"/>
          <w:iCs w:val="0"/>
          <w:caps w:val="0"/>
          <w:color w:val="000000" w:themeColor="text1"/>
          <w:spacing w:val="0"/>
          <w:sz w:val="44"/>
          <w:szCs w:val="44"/>
          <w:shd w:val="clear" w:fill="FFFFFF"/>
          <w14:textFill>
            <w14:solidFill>
              <w14:schemeClr w14:val="tx1"/>
            </w14:solidFill>
          </w14:textFill>
        </w:rPr>
        <w:t>亳州市</w:t>
      </w:r>
      <w:r>
        <w:rPr>
          <w:rFonts w:hint="default" w:ascii="Nimbus Roman No9 L" w:hAnsi="Nimbus Roman No9 L" w:eastAsia="方正小标宋简体" w:cs="Nimbus Roman No9 L"/>
          <w:i w:val="0"/>
          <w:iCs w:val="0"/>
          <w:caps w:val="0"/>
          <w:color w:val="000000" w:themeColor="text1"/>
          <w:spacing w:val="0"/>
          <w:sz w:val="44"/>
          <w:szCs w:val="44"/>
          <w:shd w:val="clear" w:fill="FFFFFF"/>
          <w:lang w:eastAsia="zh-CN"/>
          <w14:textFill>
            <w14:solidFill>
              <w14:schemeClr w14:val="tx1"/>
            </w14:solidFill>
          </w14:textFill>
        </w:rPr>
        <w:t>统计局</w:t>
      </w:r>
      <w:r>
        <w:rPr>
          <w:rFonts w:hint="default" w:ascii="Nimbus Roman No9 L" w:hAnsi="Nimbus Roman No9 L" w:cs="Nimbus Roman No9 L"/>
          <w:i w:val="0"/>
          <w:iCs w:val="0"/>
          <w:caps w:val="0"/>
          <w:color w:val="000000" w:themeColor="text1"/>
          <w:spacing w:val="0"/>
          <w:sz w:val="44"/>
          <w:szCs w:val="44"/>
          <w:shd w:val="clear" w:fill="FFFFFF"/>
          <w14:textFill>
            <w14:solidFill>
              <w14:schemeClr w14:val="tx1"/>
            </w14:solidFill>
          </w14:textFill>
        </w:rPr>
        <w:t>202</w:t>
      </w:r>
      <w:r>
        <w:rPr>
          <w:rFonts w:hint="default" w:ascii="Nimbus Roman No9 L" w:hAnsi="Nimbus Roman No9 L" w:eastAsia="方正小标宋简体" w:cs="Nimbus Roman No9 L"/>
          <w:i w:val="0"/>
          <w:iCs w:val="0"/>
          <w:caps w:val="0"/>
          <w:color w:val="000000" w:themeColor="text1"/>
          <w:spacing w:val="0"/>
          <w:sz w:val="44"/>
          <w:szCs w:val="44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default" w:ascii="Nimbus Roman No9 L" w:hAnsi="Nimbus Roman No9 L" w:eastAsia="方正小标宋简体" w:cs="Nimbus Roman No9 L"/>
          <w:i w:val="0"/>
          <w:iCs w:val="0"/>
          <w:caps w:val="0"/>
          <w:color w:val="000000" w:themeColor="text1"/>
          <w:spacing w:val="0"/>
          <w:sz w:val="44"/>
          <w:szCs w:val="44"/>
          <w:shd w:val="clear" w:fill="FFFFFF"/>
          <w14:textFill>
            <w14:solidFill>
              <w14:schemeClr w14:val="tx1"/>
            </w14:solidFill>
          </w14:textFill>
        </w:rPr>
        <w:t>年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20" w:lineRule="exact"/>
        <w:ind w:left="0" w:right="0" w:firstLine="0"/>
        <w:jc w:val="center"/>
        <w:textAlignment w:val="auto"/>
        <w:rPr>
          <w:rFonts w:hint="default" w:ascii="Nimbus Roman No9 L" w:hAnsi="Nimbus Roman No9 L" w:cs="Nimbus Roman No9 L"/>
          <w:i w:val="0"/>
          <w:iCs w:val="0"/>
          <w:caps w:val="0"/>
          <w:color w:val="000000" w:themeColor="text1"/>
          <w:spacing w:val="0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default" w:ascii="Nimbus Roman No9 L" w:hAnsi="Nimbus Roman No9 L" w:eastAsia="方正小标宋简体" w:cs="Nimbus Roman No9 L"/>
          <w:i w:val="0"/>
          <w:iCs w:val="0"/>
          <w:caps w:val="0"/>
          <w:color w:val="000000" w:themeColor="text1"/>
          <w:spacing w:val="0"/>
          <w:sz w:val="44"/>
          <w:szCs w:val="44"/>
          <w:shd w:val="clear" w:fill="FFFFFF"/>
          <w14:textFill>
            <w14:solidFill>
              <w14:schemeClr w14:val="tx1"/>
            </w14:solidFill>
          </w14:textFill>
        </w:rPr>
        <w:t>政府信息公开工作年度报告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20" w:lineRule="exact"/>
        <w:ind w:left="0" w:right="0" w:firstLine="640"/>
        <w:jc w:val="both"/>
        <w:textAlignment w:val="auto"/>
        <w:rPr>
          <w:rFonts w:hint="default" w:ascii="Nimbus Roman No9 L" w:hAnsi="Nimbus Roman No9 L" w:cs="Nimbus Roman No9 L"/>
          <w:i w:val="0"/>
          <w:iCs w:val="0"/>
          <w:caps w:val="0"/>
          <w:color w:val="000000" w:themeColor="text1"/>
          <w:spacing w:val="0"/>
          <w:sz w:val="21"/>
          <w:szCs w:val="21"/>
          <w14:textFill>
            <w14:solidFill>
              <w14:schemeClr w14:val="tx1"/>
            </w14:solidFill>
          </w14:textFill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00" w:lineRule="exact"/>
        <w:ind w:left="0" w:right="0" w:firstLine="640"/>
        <w:jc w:val="both"/>
        <w:textAlignment w:val="auto"/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根据《中华人民共和国政府信息公开条例》（国务院令第</w:t>
      </w:r>
      <w:r>
        <w:rPr>
          <w:rFonts w:hint="default" w:ascii="Nimbus Roman No9 L" w:hAnsi="Nimbus Roman No9 L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711</w:t>
      </w:r>
      <w:r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号）规定和《国务院办公厅政府信息与政务公开办公室关于印发</w:t>
      </w:r>
      <w:r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〈</w:t>
      </w:r>
      <w:r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中华人民共和国政府信息公开工作年度报告格式</w:t>
      </w:r>
      <w:r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〉</w:t>
      </w:r>
      <w:r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的通知》（国办公开办函〔</w:t>
      </w:r>
      <w:r>
        <w:rPr>
          <w:rFonts w:hint="default" w:ascii="Nimbus Roman No9 L" w:hAnsi="Nimbus Roman No9 L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2021</w:t>
      </w:r>
      <w:r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〕</w:t>
      </w:r>
      <w:r>
        <w:rPr>
          <w:rFonts w:hint="default" w:ascii="Nimbus Roman No9 L" w:hAnsi="Nimbus Roman No9 L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30</w:t>
      </w:r>
      <w:r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号）要求，现发布《亳州市统计局202</w:t>
      </w:r>
      <w:r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年政府信息公开工作年度报告》</w:t>
      </w:r>
      <w:r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val="en-US"/>
          <w14:textFill>
            <w14:solidFill>
              <w14:schemeClr w14:val="tx1"/>
            </w14:solidFill>
          </w14:textFill>
        </w:rPr>
        <w:t>,</w:t>
      </w:r>
      <w:r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报告中所列数据统计期限自2025年1月1日起，至2025年12月31日止。亳州市统计局（网站：https://tj.bozhou.gov.cn/）“政府信息公开”年报专栏下载。如对本报告有任何疑问，请与亳州市统计局联系（地址：安徽省亳州市希夷大道455号，电话：0558-5555363，邮编：236800）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00" w:lineRule="exact"/>
        <w:ind w:left="0" w:right="0" w:firstLine="640"/>
        <w:jc w:val="both"/>
        <w:textAlignment w:val="auto"/>
        <w:rPr>
          <w:rFonts w:hint="default" w:ascii="Nimbus Roman No9 L" w:hAnsi="Nimbus Roman No9 L" w:cs="Nimbus Roman No9 L"/>
          <w:i w:val="0"/>
          <w:iCs w:val="0"/>
          <w:caps w:val="0"/>
          <w:color w:val="000000" w:themeColor="text1"/>
          <w:spacing w:val="0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default" w:ascii="Nimbus Roman No9 L" w:hAnsi="Nimbus Roman No9 L" w:eastAsia="方正黑体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一、总体情况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00" w:lineRule="exact"/>
        <w:ind w:left="0" w:right="0" w:firstLine="640"/>
        <w:jc w:val="both"/>
        <w:textAlignment w:val="auto"/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2025年，亳州市统计局在市委、市政府的坚强领导下，坚持以习近平新时代中国特色社会主义思想为指导，深入贯彻落实国家、省、市关于政务公开工作的各项决策部署，紧密围绕全市中心工作和统计主责主业，持续深化政务公开，优化公开服务，强化平台建设，保障公众权益，为全市经济社会高质量发展提供坚实统计服务支撑。现将全年工作情况报告如下：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00" w:lineRule="exact"/>
        <w:ind w:left="0" w:right="0" w:firstLine="640"/>
        <w:jc w:val="both"/>
        <w:textAlignment w:val="auto"/>
        <w:rPr>
          <w:rFonts w:hint="default" w:ascii="Nimbus Roman No9 L" w:hAnsi="Nimbus Roman No9 L" w:eastAsia="方正仿宋_GBK" w:cs="Nimbus Roman No9 L"/>
          <w:b/>
          <w:bCs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default" w:ascii="Nimbus Roman No9 L" w:hAnsi="Nimbus Roman No9 L" w:eastAsia="方正楷体_GBK" w:cs="Nimbus Roman No9 L"/>
          <w:b/>
          <w:bCs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（一）主动公开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both"/>
        <w:textAlignment w:val="auto"/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bookmarkStart w:id="0" w:name="OLE_LINK1"/>
      <w:r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围绕公众关切和统计职能，持续加大主动公开力度。全年通过局门户网站、政务公开平台等渠道，主动发布政府信息460条。公开内容重点涵盖：机构设置与职能、统计政策法规、国民经济运行数据、统计工作动态、第五次全国经济普查专题信息、人口统计资料分析等。加强政策解读，发布各类解读材料33篇。积极回应社会关切，全年规范受理并办结网民咨询留言56条。</w:t>
      </w:r>
      <w:r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2025年度，亳州市统计局</w:t>
      </w:r>
      <w:r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高质量</w:t>
      </w:r>
      <w:r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完成全国1%人口抽样调查工作任务，</w:t>
      </w:r>
      <w:r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为国家摸清人口家底提供了基层支撑，也为我市制定经济社会发展规划提供基础数据支持。</w:t>
      </w:r>
    </w:p>
    <w:bookmarkEnd w:id="0"/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00" w:lineRule="exact"/>
        <w:ind w:left="0" w:right="0" w:firstLine="640"/>
        <w:jc w:val="both"/>
        <w:textAlignment w:val="auto"/>
        <w:rPr>
          <w:rFonts w:hint="default" w:ascii="Nimbus Roman No9 L" w:hAnsi="Nimbus Roman No9 L" w:eastAsia="方正楷体_GBK" w:cs="Nimbus Roman No9 L"/>
          <w:b/>
          <w:bCs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default" w:ascii="Nimbus Roman No9 L" w:hAnsi="Nimbus Roman No9 L" w:eastAsia="方正楷体_GBK" w:cs="Nimbus Roman No9 L"/>
          <w:b/>
          <w:bCs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（二）</w:t>
      </w:r>
      <w:r>
        <w:rPr>
          <w:rFonts w:hint="default" w:ascii="Nimbus Roman No9 L" w:hAnsi="Nimbus Roman No9 L" w:eastAsia="方正楷体_GBK" w:cs="Nimbus Roman No9 L"/>
          <w:b/>
          <w:bCs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依申请公开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00" w:lineRule="exact"/>
        <w:ind w:right="0" w:rightChars="0" w:firstLine="640" w:firstLineChars="200"/>
        <w:jc w:val="both"/>
        <w:textAlignment w:val="auto"/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严格遵循《政府信息公开条例》相关规定，规范办理流程，健全登记、审核、办理、答复、归档机制，确保依法依规、及时高效。全年线上共受理政府信息公开申请19件，均在法定期限内予以规范答复，答复格式统一、依据明确。</w:t>
      </w:r>
      <w:r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2025</w:t>
      </w:r>
      <w:r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年度，未发生因政府信息公开工作引发的行政复议、行政诉讼及责任追究案件。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00" w:lineRule="exact"/>
        <w:ind w:left="0" w:right="0" w:firstLine="640"/>
        <w:jc w:val="both"/>
        <w:textAlignment w:val="auto"/>
        <w:rPr>
          <w:rFonts w:hint="default" w:ascii="Nimbus Roman No9 L" w:hAnsi="Nimbus Roman No9 L" w:eastAsia="方正楷体_GBK" w:cs="Nimbus Roman No9 L"/>
          <w:b/>
          <w:bCs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default" w:ascii="Nimbus Roman No9 L" w:hAnsi="Nimbus Roman No9 L" w:eastAsia="方正楷体_GBK" w:cs="Nimbus Roman No9 L"/>
          <w:b/>
          <w:bCs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（三）</w:t>
      </w:r>
      <w:r>
        <w:rPr>
          <w:rFonts w:hint="default" w:ascii="Nimbus Roman No9 L" w:hAnsi="Nimbus Roman No9 L" w:eastAsia="方正楷体_GBK" w:cs="Nimbus Roman No9 L"/>
          <w:b/>
          <w:bCs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政府信息管理</w:t>
      </w:r>
    </w:p>
    <w:p>
      <w:pPr>
        <w:pStyle w:val="4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00" w:lineRule="exact"/>
        <w:ind w:left="0" w:right="0" w:firstLine="640"/>
        <w:jc w:val="both"/>
        <w:textAlignment w:val="auto"/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严格落实信息发布审核和保密审查制度，全面执行信息发布“三审”（科室初审、分管领导复审、主要领导终审）责任制，确保公开信息内容准确、表述规范。建立信息动态维护机制，定期对已公开信息进行核查更新。加强规范性文件管理，全局现行有效规范性文件2件，均已主动公开。全年未发生失密泄密事件和重大负面舆情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00" w:lineRule="exact"/>
        <w:ind w:left="0" w:right="0" w:firstLine="640"/>
        <w:jc w:val="both"/>
        <w:textAlignment w:val="auto"/>
        <w:rPr>
          <w:rFonts w:hint="default" w:ascii="Nimbus Roman No9 L" w:hAnsi="Nimbus Roman No9 L" w:eastAsia="方正楷体_GBK" w:cs="Nimbus Roman No9 L"/>
          <w:b/>
          <w:bCs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default" w:ascii="Nimbus Roman No9 L" w:hAnsi="Nimbus Roman No9 L" w:eastAsia="方正楷体_GBK" w:cs="Nimbus Roman No9 L"/>
          <w:b/>
          <w:bCs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（四）</w:t>
      </w:r>
      <w:r>
        <w:rPr>
          <w:rFonts w:hint="default" w:ascii="Nimbus Roman No9 L" w:hAnsi="Nimbus Roman No9 L" w:eastAsia="方正楷体_GBK" w:cs="Nimbus Roman No9 L"/>
          <w:b/>
          <w:bCs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政府信息公开平台建设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00" w:lineRule="exact"/>
        <w:ind w:right="0" w:rightChars="0" w:firstLine="640" w:firstLineChars="200"/>
        <w:jc w:val="both"/>
        <w:textAlignment w:val="auto"/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持续加强局门户网站的建设与管理，优化栏目设置，提升服务效能。落实专人负责内容维护，确保工作动态、数据发布、通知公告等栏目信息及时、准确更新，保障公众便捷、高效获取统计信息。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00" w:lineRule="exact"/>
        <w:ind w:left="0" w:right="0" w:firstLine="640"/>
        <w:jc w:val="both"/>
        <w:textAlignment w:val="auto"/>
        <w:rPr>
          <w:rFonts w:hint="default" w:ascii="Nimbus Roman No9 L" w:hAnsi="Nimbus Roman No9 L" w:eastAsia="方正楷体_GBK" w:cs="Nimbus Roman No9 L"/>
          <w:b/>
          <w:bCs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default" w:ascii="Nimbus Roman No9 L" w:hAnsi="Nimbus Roman No9 L" w:eastAsia="方正楷体_GBK" w:cs="Nimbus Roman No9 L"/>
          <w:b/>
          <w:bCs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（五）</w:t>
      </w:r>
      <w:r>
        <w:rPr>
          <w:rFonts w:hint="default" w:ascii="Nimbus Roman No9 L" w:hAnsi="Nimbus Roman No9 L" w:eastAsia="方正楷体_GBK" w:cs="Nimbus Roman No9 L"/>
          <w:b/>
          <w:bCs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监督保障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00" w:lineRule="exact"/>
        <w:ind w:right="0" w:rightChars="0" w:firstLine="640" w:firstLineChars="200"/>
        <w:jc w:val="both"/>
        <w:textAlignment w:val="auto"/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强化组织领导，</w:t>
      </w:r>
      <w:r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成立</w:t>
      </w:r>
      <w:r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局政务公开工作领导小组，由主要负责同志任组长，分管负责同志具体抓，办公室牵头协调，各科室协同落实，形成工作合力。配备专职工作人员，保持工作连续性。积极组织参加</w:t>
      </w:r>
      <w:r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省、市</w:t>
      </w:r>
      <w:r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政务公开业务培训，不断提升工作人员的专业素养和履职能力。202</w:t>
      </w:r>
      <w:r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val="en-US"/>
          <w14:textFill>
            <w14:solidFill>
              <w14:schemeClr w14:val="tx1"/>
            </w14:solidFill>
          </w14:textFill>
        </w:rPr>
        <w:t>5</w:t>
      </w:r>
      <w:r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年</w:t>
      </w:r>
      <w:r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度</w:t>
      </w:r>
      <w:r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，</w:t>
      </w:r>
      <w:r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亳州市统计局未开展社会评议，无</w:t>
      </w:r>
      <w:r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政府信息公开工作责任追究情况。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20" w:lineRule="exact"/>
        <w:ind w:left="640" w:leftChars="0" w:right="0" w:rightChars="0"/>
        <w:jc w:val="both"/>
        <w:textAlignment w:val="auto"/>
        <w:rPr>
          <w:rFonts w:hint="default" w:ascii="Nimbus Roman No9 L" w:hAnsi="Nimbus Roman No9 L" w:cs="Nimbus Roman No9 L"/>
          <w:i w:val="0"/>
          <w:iCs w:val="0"/>
          <w:caps w:val="0"/>
          <w:color w:val="000000" w:themeColor="text1"/>
          <w:spacing w:val="0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default" w:ascii="Nimbus Roman No9 L" w:hAnsi="Nimbus Roman No9 L" w:eastAsia="方正黑体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二、主动公开政府信息情况</w:t>
      </w:r>
    </w:p>
    <w:tbl>
      <w:tblPr>
        <w:tblStyle w:val="5"/>
        <w:tblW w:w="947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2435"/>
        <w:gridCol w:w="2435"/>
        <w:gridCol w:w="216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473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第二十条第（一）项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本年制发件数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本年废止件数</w:t>
            </w:r>
          </w:p>
        </w:tc>
        <w:tc>
          <w:tcPr>
            <w:tcW w:w="216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现行有效件数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both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eastAsia="宋体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both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473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第二十条第（五）项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信息内容</w:t>
            </w:r>
          </w:p>
        </w:tc>
        <w:tc>
          <w:tcPr>
            <w:tcW w:w="703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both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行政许可</w:t>
            </w:r>
          </w:p>
        </w:tc>
        <w:tc>
          <w:tcPr>
            <w:tcW w:w="703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473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第二十条第（六）项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信息内容</w:t>
            </w:r>
          </w:p>
        </w:tc>
        <w:tc>
          <w:tcPr>
            <w:tcW w:w="7038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both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行政处罚</w:t>
            </w:r>
          </w:p>
        </w:tc>
        <w:tc>
          <w:tcPr>
            <w:tcW w:w="703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both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行政强制</w:t>
            </w:r>
          </w:p>
        </w:tc>
        <w:tc>
          <w:tcPr>
            <w:tcW w:w="703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473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第二十条第（八）项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信息内容</w:t>
            </w:r>
          </w:p>
        </w:tc>
        <w:tc>
          <w:tcPr>
            <w:tcW w:w="7038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本年收费金额（单位：万元）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both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行政事业性收费</w:t>
            </w:r>
          </w:p>
        </w:tc>
        <w:tc>
          <w:tcPr>
            <w:tcW w:w="7038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</w:tbl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20" w:lineRule="exact"/>
        <w:ind w:left="0" w:right="0" w:firstLine="640"/>
        <w:jc w:val="both"/>
        <w:textAlignment w:val="auto"/>
        <w:rPr>
          <w:rFonts w:hint="default" w:ascii="Nimbus Roman No9 L" w:hAnsi="Nimbus Roman No9 L" w:cs="Nimbus Roman No9 L"/>
          <w:i w:val="0"/>
          <w:iCs w:val="0"/>
          <w:caps w:val="0"/>
          <w:color w:val="000000" w:themeColor="text1"/>
          <w:spacing w:val="0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default" w:ascii="Nimbus Roman No9 L" w:hAnsi="Nimbus Roman No9 L" w:eastAsia="方正黑体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三、收到和处理政府信息公开申请情况</w:t>
      </w:r>
    </w:p>
    <w:tbl>
      <w:tblPr>
        <w:tblStyle w:val="5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68"/>
        <w:gridCol w:w="943"/>
        <w:gridCol w:w="3220"/>
        <w:gridCol w:w="688"/>
        <w:gridCol w:w="688"/>
        <w:gridCol w:w="688"/>
        <w:gridCol w:w="688"/>
        <w:gridCol w:w="688"/>
        <w:gridCol w:w="688"/>
        <w:gridCol w:w="689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1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both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楷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（本列数据的</w:t>
            </w:r>
            <w:r>
              <w:rPr>
                <w:rFonts w:hint="default" w:ascii="Nimbus Roman No9 L" w:hAnsi="Nimbus Roman No9 L" w:eastAsia="楷体" w:cs="Nimbus Roman No9 L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钩稽</w:t>
            </w:r>
            <w:r>
              <w:rPr>
                <w:rFonts w:hint="default" w:ascii="Nimbus Roman No9 L" w:hAnsi="Nimbus Roman No9 L" w:eastAsia="楷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关系为：第一项加第二项之和，等于第三项加第四项之和）</w:t>
            </w:r>
          </w:p>
        </w:tc>
        <w:tc>
          <w:tcPr>
            <w:tcW w:w="4817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申请人情况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1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20" w:lineRule="exact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8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自然人</w:t>
            </w:r>
          </w:p>
        </w:tc>
        <w:tc>
          <w:tcPr>
            <w:tcW w:w="344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法人或其他组织</w:t>
            </w:r>
          </w:p>
        </w:tc>
        <w:tc>
          <w:tcPr>
            <w:tcW w:w="689" w:type="dxa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 w:hRule="atLeast"/>
          <w:jc w:val="center"/>
        </w:trPr>
        <w:tc>
          <w:tcPr>
            <w:tcW w:w="4931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20" w:lineRule="exact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8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20" w:lineRule="exact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商业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企业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科研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机构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社会公益组织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法律服务机构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其他</w:t>
            </w:r>
          </w:p>
        </w:tc>
        <w:tc>
          <w:tcPr>
            <w:tcW w:w="689" w:type="dxa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20" w:lineRule="exact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7" w:hRule="atLeast"/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both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bookmarkStart w:id="1" w:name="OLE_LINK2" w:colFirst="2" w:colLast="6"/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一、本年新收政府信息公开申请数量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19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19</w:t>
            </w:r>
          </w:p>
        </w:tc>
      </w:tr>
      <w:bookmarkEnd w:id="1"/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7" w:hRule="atLeast"/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both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二、上年结转政府信息公开申请数量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" w:hRule="atLeast"/>
          <w:jc w:val="center"/>
        </w:trPr>
        <w:tc>
          <w:tcPr>
            <w:tcW w:w="768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both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三、本年度办理结果</w:t>
            </w:r>
          </w:p>
        </w:tc>
        <w:tc>
          <w:tcPr>
            <w:tcW w:w="4163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both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（一）予以公开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19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19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 w:hRule="atLeast"/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20" w:lineRule="exact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both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（二）部分公开</w:t>
            </w:r>
            <w:r>
              <w:rPr>
                <w:rFonts w:hint="default" w:ascii="Nimbus Roman No9 L" w:hAnsi="Nimbus Roman No9 L" w:eastAsia="楷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（区分处理的，只计这一情形，不计其他情形）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20" w:lineRule="exact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both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（三）不予公开</w:t>
            </w:r>
          </w:p>
        </w:tc>
        <w:tc>
          <w:tcPr>
            <w:tcW w:w="322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both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1.属于国家秘密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20" w:lineRule="exact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20" w:lineRule="exact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both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2.其他法律行政法规禁止公开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20" w:lineRule="exact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20" w:lineRule="exact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both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3.危及“三安全一稳定”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20" w:lineRule="exact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20" w:lineRule="exact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both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4.保护第三方合法权益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20" w:lineRule="exact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20" w:lineRule="exact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both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5.属于三类内部事务信息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20" w:lineRule="exact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20" w:lineRule="exact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both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6.属于四类过程性信息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20" w:lineRule="exact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20" w:lineRule="exact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both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7.属于行政执法案卷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20" w:lineRule="exact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bookmarkStart w:id="2" w:name="OLE_LINK4" w:colFirst="4" w:colLast="9"/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20" w:lineRule="exact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both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8.属于行政查询事项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bookmarkEnd w:id="2"/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20" w:lineRule="exact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both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（四）无法提供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both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1.本机关不掌握相关政府信息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Nimbus Roman No9 L" w:hAnsi="Nimbus Roman No9 L" w:cs="Nimbus Roman No9 L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</w:t>
            </w:r>
            <w:bookmarkStart w:id="4" w:name="_GoBack"/>
            <w:bookmarkEnd w:id="4"/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20" w:lineRule="exact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20" w:lineRule="exact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both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2.没有现成信息需要另行制作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20" w:lineRule="exact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20" w:lineRule="exact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both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3.补正后申请内容仍不明确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20" w:lineRule="exact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bookmarkStart w:id="3" w:name="OLE_LINK3" w:colFirst="3" w:colLast="8"/>
          </w:p>
        </w:tc>
        <w:tc>
          <w:tcPr>
            <w:tcW w:w="943" w:type="dxa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both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（五）不予处理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both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1.信访举报投诉类申请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bookmarkEnd w:id="3"/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20" w:lineRule="exact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20" w:lineRule="exact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both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2.重复申请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20" w:lineRule="exact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20" w:lineRule="exact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both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3.要求提供公开出版物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20" w:lineRule="exact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20" w:lineRule="exact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both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4.无正当理由大量反复申请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20" w:lineRule="exact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20" w:lineRule="exact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both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5.要求行政机关确认或重新出具已获取信息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20" w:lineRule="exact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both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（六）其他处理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both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1.申请人无正当理由逾期不补正、行政机关不再处理其政府信息公开申请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20" w:lineRule="exact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20" w:lineRule="exact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both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2.申请人逾期未按收费通知要求缴纳费用、行政机关不再处理其政府信息公开申请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20" w:lineRule="exact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20" w:lineRule="exact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both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3.其他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20" w:lineRule="exact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both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（七）总计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19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19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both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四、结转下年度继续办理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leftChars="0" w:right="0" w:rightChars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</w:tbl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20" w:lineRule="exact"/>
        <w:ind w:left="0" w:right="0" w:firstLine="640"/>
        <w:jc w:val="both"/>
        <w:textAlignment w:val="auto"/>
        <w:rPr>
          <w:rFonts w:hint="default" w:ascii="Nimbus Roman No9 L" w:hAnsi="Nimbus Roman No9 L" w:cs="Nimbus Roman No9 L"/>
          <w:i w:val="0"/>
          <w:iCs w:val="0"/>
          <w:caps w:val="0"/>
          <w:color w:val="000000" w:themeColor="text1"/>
          <w:spacing w:val="0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default" w:ascii="Nimbus Roman No9 L" w:hAnsi="Nimbus Roman No9 L" w:eastAsia="方正黑体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四、政府信息公开行政复议、行政诉讼情况</w:t>
      </w:r>
    </w:p>
    <w:tbl>
      <w:tblPr>
        <w:tblStyle w:val="5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50"/>
        <w:gridCol w:w="650"/>
        <w:gridCol w:w="650"/>
        <w:gridCol w:w="650"/>
        <w:gridCol w:w="650"/>
        <w:gridCol w:w="649"/>
        <w:gridCol w:w="649"/>
        <w:gridCol w:w="650"/>
        <w:gridCol w:w="650"/>
        <w:gridCol w:w="650"/>
        <w:gridCol w:w="650"/>
        <w:gridCol w:w="650"/>
        <w:gridCol w:w="650"/>
        <w:gridCol w:w="650"/>
        <w:gridCol w:w="650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5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行政复议</w:t>
            </w:r>
          </w:p>
        </w:tc>
        <w:tc>
          <w:tcPr>
            <w:tcW w:w="6498" w:type="dxa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行政诉讼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50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结果维持</w:t>
            </w:r>
          </w:p>
        </w:tc>
        <w:tc>
          <w:tcPr>
            <w:tcW w:w="650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50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650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尚未</w:t>
            </w: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审结</w:t>
            </w:r>
          </w:p>
        </w:tc>
        <w:tc>
          <w:tcPr>
            <w:tcW w:w="650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  <w:tc>
          <w:tcPr>
            <w:tcW w:w="3248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未经复议直接起诉</w:t>
            </w:r>
          </w:p>
        </w:tc>
        <w:tc>
          <w:tcPr>
            <w:tcW w:w="325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复议后起诉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50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20" w:lineRule="exact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50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20" w:lineRule="exact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50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20" w:lineRule="exact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50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20" w:lineRule="exact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50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20" w:lineRule="exact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结果维持</w:t>
            </w:r>
          </w:p>
        </w:tc>
        <w:tc>
          <w:tcPr>
            <w:tcW w:w="6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其他结果</w:t>
            </w:r>
          </w:p>
        </w:tc>
        <w:tc>
          <w:tcPr>
            <w:tcW w:w="6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尚未审结</w:t>
            </w:r>
          </w:p>
        </w:tc>
        <w:tc>
          <w:tcPr>
            <w:tcW w:w="6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  <w:tc>
          <w:tcPr>
            <w:tcW w:w="6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维持</w:t>
            </w:r>
          </w:p>
        </w:tc>
        <w:tc>
          <w:tcPr>
            <w:tcW w:w="6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6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尚未</w:t>
            </w: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审结</w:t>
            </w:r>
          </w:p>
        </w:tc>
        <w:tc>
          <w:tcPr>
            <w:tcW w:w="6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eastAsia="宋体" w:cs="Nimbus Roman No9 L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  <w:jc w:val="center"/>
        </w:trPr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20" w:lineRule="exact"/>
              <w:ind w:left="0" w:right="0"/>
              <w:jc w:val="center"/>
              <w:textAlignment w:val="auto"/>
              <w:rPr>
                <w:rFonts w:hint="default" w:ascii="Nimbus Roman No9 L" w:hAnsi="Nimbus Roman No9 L" w:cs="Nimbus Roman No9 L" w:eastAsia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Nimbus Roman No9 L" w:hAnsi="Nimbus Roman No9 L" w:cs="Nimbus Roman No9 L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</w:tbl>
    <w:p>
      <w:pPr>
        <w:pStyle w:val="4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00" w:lineRule="exact"/>
        <w:ind w:left="0" w:right="0" w:firstLine="641"/>
        <w:jc w:val="both"/>
        <w:textAlignment w:val="auto"/>
        <w:rPr>
          <w:rFonts w:hint="default" w:ascii="Nimbus Roman No9 L" w:hAnsi="Nimbus Roman No9 L" w:cs="Nimbus Roman No9 L"/>
          <w:i w:val="0"/>
          <w:iCs w:val="0"/>
          <w:caps w:val="0"/>
          <w:color w:val="000000" w:themeColor="text1"/>
          <w:spacing w:val="0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default" w:ascii="Nimbus Roman No9 L" w:hAnsi="Nimbus Roman No9 L" w:eastAsia="方正黑体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五、存在的主要问题及改进情况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00" w:lineRule="exact"/>
        <w:ind w:left="0" w:right="0" w:firstLine="640"/>
        <w:jc w:val="both"/>
        <w:textAlignment w:val="auto"/>
        <w:rPr>
          <w:rFonts w:hint="default" w:ascii="Nimbus Roman No9 L" w:hAnsi="Nimbus Roman No9 L" w:eastAsia="方正楷体_GBK" w:cs="Nimbus Roman No9 L"/>
          <w:b/>
          <w:bCs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default" w:ascii="Nimbus Roman No9 L" w:hAnsi="Nimbus Roman No9 L" w:eastAsia="方正楷体_GBK" w:cs="Nimbus Roman No9 L"/>
          <w:b/>
          <w:bCs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（一）存在的问题</w:t>
      </w:r>
    </w:p>
    <w:p>
      <w:pPr>
        <w:pStyle w:val="4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00" w:lineRule="exact"/>
        <w:ind w:left="0" w:right="0" w:firstLine="641"/>
        <w:jc w:val="both"/>
        <w:textAlignment w:val="auto"/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一</w:t>
      </w:r>
      <w:r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是</w:t>
      </w:r>
      <w:r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政策与数据解读的呈现方式有待进一步创新，解读形式以文字、图解为主，短视频、动漫等更具传播力的新媒体形式运用不足，</w:t>
      </w:r>
      <w:r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不能更好的</w:t>
      </w:r>
      <w:r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满足不同</w:t>
      </w:r>
      <w:r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社会</w:t>
      </w:r>
      <w:r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群体的信息</w:t>
      </w:r>
      <w:r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需求</w:t>
      </w:r>
      <w:r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。</w:t>
      </w:r>
    </w:p>
    <w:p>
      <w:pPr>
        <w:pStyle w:val="4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00" w:lineRule="exact"/>
        <w:ind w:left="0" w:right="0" w:firstLine="641"/>
        <w:jc w:val="both"/>
        <w:textAlignment w:val="auto"/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二是部分信息的公开时效性可以进一步提升，信息发布的内部流程效率有待优化。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00" w:lineRule="exact"/>
        <w:ind w:left="0" w:right="0" w:firstLine="640"/>
        <w:jc w:val="both"/>
        <w:textAlignment w:val="auto"/>
        <w:rPr>
          <w:rFonts w:hint="default" w:ascii="Nimbus Roman No9 L" w:hAnsi="Nimbus Roman No9 L" w:eastAsia="方正楷体_GBK" w:cs="Nimbus Roman No9 L"/>
          <w:b/>
          <w:bCs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default" w:ascii="Nimbus Roman No9 L" w:hAnsi="Nimbus Roman No9 L" w:eastAsia="方正楷体_GBK" w:cs="Nimbus Roman No9 L"/>
          <w:b/>
          <w:bCs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（二）改进情况</w:t>
      </w:r>
    </w:p>
    <w:p>
      <w:pPr>
        <w:pStyle w:val="4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00" w:lineRule="exact"/>
        <w:ind w:left="0" w:right="0" w:firstLine="641"/>
        <w:jc w:val="both"/>
        <w:textAlignment w:val="auto"/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一</w:t>
      </w:r>
      <w:r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是</w:t>
      </w:r>
      <w:r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积极探索多元化解读形式。制作统计数据解读短视频、动漫宣传片等新媒体产品，扩大解读覆盖面。建立解读信息反馈机制，通过网民留言、问卷调查等方式，收集公众对解读内容的意见建议，持续优化解读方向和形式。</w:t>
      </w:r>
    </w:p>
    <w:p>
      <w:pPr>
        <w:pStyle w:val="4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00" w:lineRule="exact"/>
        <w:ind w:left="0" w:right="0" w:firstLine="641"/>
        <w:jc w:val="both"/>
        <w:textAlignment w:val="auto"/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二是提升信息管理效能。进一步优化内部信息报送与审核发布流程，明确时限要求，提高主动公开信息的及时性。同时，加强对依申请公开和网民咨询内容的分析研究，将其中反映的普遍性信息需求，更多地转化为主动公开内容，变“被动应答”为“主动服务”。</w:t>
      </w:r>
    </w:p>
    <w:p>
      <w:pPr>
        <w:pStyle w:val="4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00" w:lineRule="exact"/>
        <w:ind w:left="0" w:right="0" w:firstLine="641"/>
        <w:jc w:val="both"/>
        <w:textAlignment w:val="auto"/>
        <w:rPr>
          <w:rFonts w:hint="default" w:ascii="Nimbus Roman No9 L" w:hAnsi="Nimbus Roman No9 L" w:cs="Nimbus Roman No9 L"/>
          <w:i w:val="0"/>
          <w:iCs w:val="0"/>
          <w:caps w:val="0"/>
          <w:color w:val="000000" w:themeColor="text1"/>
          <w:spacing w:val="0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default" w:ascii="Nimbus Roman No9 L" w:hAnsi="Nimbus Roman No9 L" w:eastAsia="方正黑体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六、其他需要报告的事项</w:t>
      </w:r>
    </w:p>
    <w:p>
      <w:pPr>
        <w:pStyle w:val="4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00" w:lineRule="exact"/>
        <w:ind w:left="0" w:right="0" w:firstLine="641"/>
        <w:jc w:val="both"/>
        <w:textAlignment w:val="auto"/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按照《国务院办公厅关于印发〈政府信息公开信息处理费管理办法〉的通知》（国办函〔2020〕109号）规定的按件、按量收费标准，本年度没有产生信息公开处理费。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20" w:lineRule="exact"/>
        <w:ind w:left="0" w:right="0" w:firstLine="640"/>
        <w:jc w:val="both"/>
        <w:textAlignment w:val="auto"/>
        <w:rPr>
          <w:rFonts w:hint="default" w:ascii="Nimbus Roman No9 L" w:hAnsi="Nimbus Roman No9 L" w:eastAsia="方正仿宋_GBK" w:cs="Nimbus Roman No9 L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</w:p>
    <w:sectPr>
      <w:footerReference r:id="rId3" w:type="default"/>
      <w:pgSz w:w="11906" w:h="16838"/>
      <w:pgMar w:top="1701" w:right="1531" w:bottom="1417" w:left="1531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Nimbus Roman No9 L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Noto Sans Ethiopic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Noto Sans Ethiopic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">
    <w:altName w:val="方正楷体_GBK"/>
    <w:panose1 w:val="02010609060101010101"/>
    <w:charset w:val="86"/>
    <w:family w:val="auto"/>
    <w:pitch w:val="default"/>
    <w:sig w:usb0="00000000" w:usb1="0000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WAAAAZHJzL1BLAQIUABQAAAAIAIdO4kCzSVju0AAAAAUBAAAPAAAAAAAAAAEAIAAAADgAAABk&#10;cnMvZG93bnJldi54bWxQSwECFAAUAAAACACHTuJAa4X5+zECAABhBAAADgAAAAAAAAABACAAAAA1&#10;AQAAZHJzL2Uyb0RvYy54bWx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3D293E"/>
    <w:rsid w:val="0D007754"/>
    <w:rsid w:val="17BD1E66"/>
    <w:rsid w:val="2EEF2718"/>
    <w:rsid w:val="31BC297D"/>
    <w:rsid w:val="37FD6C84"/>
    <w:rsid w:val="386232F4"/>
    <w:rsid w:val="3DD700CC"/>
    <w:rsid w:val="3EC5C656"/>
    <w:rsid w:val="3FFBFD38"/>
    <w:rsid w:val="46026DAB"/>
    <w:rsid w:val="470A6337"/>
    <w:rsid w:val="4FF85A94"/>
    <w:rsid w:val="51DBE4B4"/>
    <w:rsid w:val="536E6DB5"/>
    <w:rsid w:val="57F42761"/>
    <w:rsid w:val="5D474753"/>
    <w:rsid w:val="5F77F64E"/>
    <w:rsid w:val="5FE98B78"/>
    <w:rsid w:val="5FF4187A"/>
    <w:rsid w:val="659430C4"/>
    <w:rsid w:val="6BD7F072"/>
    <w:rsid w:val="6EF5F539"/>
    <w:rsid w:val="727F30D5"/>
    <w:rsid w:val="727FAA67"/>
    <w:rsid w:val="752E733C"/>
    <w:rsid w:val="76D7FC07"/>
    <w:rsid w:val="78FF22AC"/>
    <w:rsid w:val="79CE16E9"/>
    <w:rsid w:val="7A7F18F4"/>
    <w:rsid w:val="7AE15AF7"/>
    <w:rsid w:val="7D98326F"/>
    <w:rsid w:val="7D9989B8"/>
    <w:rsid w:val="7EC603BA"/>
    <w:rsid w:val="7FDE8FCE"/>
    <w:rsid w:val="A7FF6E28"/>
    <w:rsid w:val="BBAF70B3"/>
    <w:rsid w:val="BEDF3460"/>
    <w:rsid w:val="BFFF8AC7"/>
    <w:rsid w:val="D76FEF1F"/>
    <w:rsid w:val="DEEBCF4A"/>
    <w:rsid w:val="E37FD0F0"/>
    <w:rsid w:val="EBA6A27E"/>
    <w:rsid w:val="EE7F7212"/>
    <w:rsid w:val="EEE334F2"/>
    <w:rsid w:val="F7E78698"/>
    <w:rsid w:val="FB37C51C"/>
    <w:rsid w:val="FBBF4446"/>
    <w:rsid w:val="FBFD0BDE"/>
    <w:rsid w:val="FBFF4562"/>
    <w:rsid w:val="FC1D0AF2"/>
    <w:rsid w:val="FCA75384"/>
    <w:rsid w:val="FF3C86BF"/>
    <w:rsid w:val="FF3F5D80"/>
    <w:rsid w:val="FF4F6D4F"/>
    <w:rsid w:val="FF7E417D"/>
    <w:rsid w:val="FFA734CB"/>
    <w:rsid w:val="FFAB1484"/>
    <w:rsid w:val="FFCED05F"/>
    <w:rsid w:val="FFDF8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2808</Words>
  <Characters>2937</Characters>
  <Lines>0</Lines>
  <Paragraphs>0</Paragraphs>
  <TotalTime>221</TotalTime>
  <ScaleCrop>false</ScaleCrop>
  <LinksUpToDate>false</LinksUpToDate>
  <CharactersWithSpaces>2937</CharactersWithSpaces>
  <Application>WPS Office_11.8.0.12307_F1E327BC-269C-435d-A152-05C5408002CA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2024-12-27T22:39:00Z</dcterms:created>
  <dc:creator>政务服务事业部张俊杰</dc:creator>
  <cp:lastModifiedBy>sugon</cp:lastModifiedBy>
  <cp:lastPrinted>2026-01-17T14:38:00Z</cp:lastPrinted>
  <dcterms:modified xsi:type="dcterms:W3CDTF">2026-01-27T11:51:11Z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2052-11.8.0.12307</vt:lpwstr>
  </property>
  <property fmtid="{D5CDD505-2E9C-101B-9397-08002B2CF9AE}" pid="3" name="ICV">
    <vt:lpwstr>C60A18053572899473384E6947EEA011</vt:lpwstr>
  </property>
</Properties>
</file>